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69D" w:rsidRPr="0015188A" w:rsidRDefault="00B3669D">
      <w:pPr>
        <w:rPr>
          <w:rStyle w:val="spar"/>
          <w:rFonts w:ascii="Cambria" w:hAnsi="Cambria" w:cs="Courier New"/>
          <w:b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b/>
          <w:sz w:val="28"/>
          <w:szCs w:val="28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b/>
          <w:sz w:val="28"/>
          <w:szCs w:val="28"/>
          <w:bdr w:val="none" w:sz="0" w:space="0" w:color="auto" w:frame="1"/>
          <w:shd w:val="clear" w:color="auto" w:fill="FFFFFF"/>
        </w:rPr>
        <w:t xml:space="preserve"> cont</w:t>
      </w:r>
      <w:r w:rsidRPr="0015188A">
        <w:rPr>
          <w:rStyle w:val="spar"/>
          <w:rFonts w:ascii="Cambria" w:hAnsi="Cambria" w:cs="Courier New"/>
          <w:b/>
          <w:sz w:val="28"/>
          <w:szCs w:val="28"/>
          <w:bdr w:val="none" w:sz="0" w:space="0" w:color="auto" w:frame="1"/>
          <w:shd w:val="clear" w:color="auto" w:fill="FFFFFF"/>
        </w:rPr>
        <w:t xml:space="preserve">ra </w:t>
      </w:r>
      <w:proofErr w:type="spellStart"/>
      <w:r w:rsidRPr="0015188A">
        <w:rPr>
          <w:rStyle w:val="spar"/>
          <w:rFonts w:ascii="Cambria" w:hAnsi="Cambria" w:cs="Courier New"/>
          <w:b/>
          <w:sz w:val="28"/>
          <w:szCs w:val="28"/>
          <w:bdr w:val="none" w:sz="0" w:space="0" w:color="auto" w:frame="1"/>
          <w:shd w:val="clear" w:color="auto" w:fill="FFFFFF"/>
        </w:rPr>
        <w:t>persoanei</w:t>
      </w:r>
      <w:proofErr w:type="spellEnd"/>
    </w:p>
    <w:p w:rsidR="00B3669D" w:rsidRPr="00275D73" w:rsidRDefault="00B3669D">
      <w:pPr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proofErr w:type="spellStart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Infracțiuni</w:t>
      </w:r>
      <w:proofErr w:type="spellEnd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contra </w:t>
      </w:r>
      <w:proofErr w:type="spellStart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vieții</w:t>
      </w:r>
      <w:proofErr w:type="spellEnd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243"/>
        <w:gridCol w:w="4768"/>
      </w:tblGrid>
      <w:tr w:rsidR="0015188A" w:rsidRPr="0015188A" w:rsidTr="00275D73">
        <w:tc>
          <w:tcPr>
            <w:tcW w:w="3005" w:type="dxa"/>
          </w:tcPr>
          <w:p w:rsidR="0015188A" w:rsidRPr="00275D73" w:rsidRDefault="0015188A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Omorul</w:t>
            </w:r>
            <w:proofErr w:type="spellEnd"/>
          </w:p>
        </w:tc>
        <w:tc>
          <w:tcPr>
            <w:tcW w:w="1243" w:type="dxa"/>
          </w:tcPr>
          <w:p w:rsidR="0015188A" w:rsidRPr="00275D73" w:rsidRDefault="0015188A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10-20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</w:p>
        </w:tc>
        <w:tc>
          <w:tcPr>
            <w:tcW w:w="4768" w:type="dxa"/>
          </w:tcPr>
          <w:p w:rsidR="0015188A" w:rsidRPr="00275D73" w:rsidRDefault="0015188A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Tentativa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se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pedepsește</w:t>
            </w:r>
            <w:proofErr w:type="spellEnd"/>
          </w:p>
        </w:tc>
      </w:tr>
      <w:tr w:rsidR="0015188A" w:rsidRPr="0015188A" w:rsidTr="00275D73">
        <w:tc>
          <w:tcPr>
            <w:tcW w:w="3005" w:type="dxa"/>
          </w:tcPr>
          <w:p w:rsidR="0015188A" w:rsidRPr="00275D73" w:rsidRDefault="0015188A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Omorul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calificat</w:t>
            </w:r>
            <w:proofErr w:type="spellEnd"/>
          </w:p>
        </w:tc>
        <w:tc>
          <w:tcPr>
            <w:tcW w:w="1243" w:type="dxa"/>
          </w:tcPr>
          <w:p w:rsidR="0015188A" w:rsidRPr="00275D73" w:rsidRDefault="0015188A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15-25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</w:p>
        </w:tc>
        <w:tc>
          <w:tcPr>
            <w:tcW w:w="4768" w:type="dxa"/>
          </w:tcPr>
          <w:p w:rsidR="0015188A" w:rsidRPr="00275D73" w:rsidRDefault="0015188A" w:rsidP="0015188A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(1)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Omorul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săvârșit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vreuna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dintre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următoarele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împrejurări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:</w:t>
            </w:r>
          </w:p>
          <w:p w:rsidR="0015188A" w:rsidRPr="00275D73" w:rsidRDefault="0015188A" w:rsidP="0015188A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a) cu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premeditare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;</w:t>
            </w:r>
          </w:p>
          <w:p w:rsidR="0015188A" w:rsidRPr="00275D73" w:rsidRDefault="0015188A" w:rsidP="0015188A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b) din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interes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material;</w:t>
            </w:r>
          </w:p>
          <w:p w:rsidR="0015188A" w:rsidRPr="00275D73" w:rsidRDefault="0015188A" w:rsidP="0015188A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c)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pentru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a se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sustrage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ori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pentru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sustrage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altul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la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tragerea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la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răspundere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penală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la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executarea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unei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pedepse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;</w:t>
            </w:r>
          </w:p>
          <w:p w:rsidR="0015188A" w:rsidRPr="00275D73" w:rsidRDefault="0015188A" w:rsidP="0015188A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d)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pentru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înlesni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ascunde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săvârșirea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altei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infracțiuni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;</w:t>
            </w:r>
          </w:p>
          <w:p w:rsidR="0015188A" w:rsidRPr="00275D73" w:rsidRDefault="0015188A" w:rsidP="0015188A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e) de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către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o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persoană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care a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mai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comis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anterior o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infracțiune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omor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o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tentativă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la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infracțiunea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omor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;</w:t>
            </w:r>
          </w:p>
          <w:p w:rsidR="0015188A" w:rsidRPr="00275D73" w:rsidRDefault="0015188A" w:rsidP="0015188A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f)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asupra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două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mai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multor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persoane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;</w:t>
            </w:r>
          </w:p>
          <w:p w:rsidR="0015188A" w:rsidRPr="00275D73" w:rsidRDefault="0015188A" w:rsidP="0015188A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g)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asupra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unei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femei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gravide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;</w:t>
            </w:r>
          </w:p>
          <w:p w:rsidR="0015188A" w:rsidRPr="00275D73" w:rsidRDefault="0015188A" w:rsidP="0015188A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h)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prin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cruzimi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,</w:t>
            </w:r>
          </w:p>
        </w:tc>
      </w:tr>
      <w:tr w:rsidR="0015188A" w:rsidRPr="0015188A" w:rsidTr="00275D73">
        <w:tc>
          <w:tcPr>
            <w:tcW w:w="3005" w:type="dxa"/>
          </w:tcPr>
          <w:p w:rsidR="0015188A" w:rsidRPr="00275D73" w:rsidRDefault="00275D73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Uciderea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la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cererea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victimei</w:t>
            </w:r>
            <w:proofErr w:type="spellEnd"/>
          </w:p>
        </w:tc>
        <w:tc>
          <w:tcPr>
            <w:tcW w:w="1243" w:type="dxa"/>
          </w:tcPr>
          <w:p w:rsidR="0015188A" w:rsidRPr="00275D73" w:rsidRDefault="00275D73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1-5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</w:p>
        </w:tc>
        <w:tc>
          <w:tcPr>
            <w:tcW w:w="4768" w:type="dxa"/>
          </w:tcPr>
          <w:p w:rsidR="0015188A" w:rsidRPr="00275D73" w:rsidRDefault="0015188A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</w:tr>
      <w:tr w:rsidR="0015188A" w:rsidRPr="0015188A" w:rsidTr="00275D73">
        <w:tc>
          <w:tcPr>
            <w:tcW w:w="3005" w:type="dxa"/>
          </w:tcPr>
          <w:p w:rsidR="0015188A" w:rsidRPr="00275D73" w:rsidRDefault="00275D73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Determinarea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înlesnirea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sinuciderii</w:t>
            </w:r>
            <w:proofErr w:type="spellEnd"/>
          </w:p>
        </w:tc>
        <w:tc>
          <w:tcPr>
            <w:tcW w:w="1243" w:type="dxa"/>
          </w:tcPr>
          <w:p w:rsidR="0015188A" w:rsidRPr="00275D73" w:rsidRDefault="00275D73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3-7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</w:p>
        </w:tc>
        <w:tc>
          <w:tcPr>
            <w:tcW w:w="4768" w:type="dxa"/>
          </w:tcPr>
          <w:p w:rsidR="0015188A" w:rsidRPr="00275D73" w:rsidRDefault="00275D73" w:rsidP="00275D73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Victimă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minoră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– 5-10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</w:p>
        </w:tc>
      </w:tr>
      <w:tr w:rsidR="0015188A" w:rsidRPr="0015188A" w:rsidTr="00275D73">
        <w:tc>
          <w:tcPr>
            <w:tcW w:w="3005" w:type="dxa"/>
          </w:tcPr>
          <w:p w:rsidR="0015188A" w:rsidRPr="00275D73" w:rsidRDefault="00275D73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Uciderea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din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culpă</w:t>
            </w:r>
            <w:proofErr w:type="spellEnd"/>
          </w:p>
        </w:tc>
        <w:tc>
          <w:tcPr>
            <w:tcW w:w="1243" w:type="dxa"/>
          </w:tcPr>
          <w:p w:rsidR="0015188A" w:rsidRPr="00275D73" w:rsidRDefault="00275D73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1-5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</w:p>
        </w:tc>
        <w:tc>
          <w:tcPr>
            <w:tcW w:w="4768" w:type="dxa"/>
          </w:tcPr>
          <w:p w:rsidR="0015188A" w:rsidRPr="00275D73" w:rsidRDefault="0015188A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15188A" w:rsidRPr="0015188A" w:rsidRDefault="0015188A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</w:p>
    <w:p w:rsidR="00275D73" w:rsidRPr="00275D73" w:rsidRDefault="00B3669D">
      <w:pPr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proofErr w:type="spellStart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Infracțiuni</w:t>
      </w:r>
      <w:proofErr w:type="spellEnd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contra </w:t>
      </w:r>
      <w:proofErr w:type="spellStart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integrității</w:t>
      </w:r>
      <w:proofErr w:type="spellEnd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corporale</w:t>
      </w:r>
      <w:proofErr w:type="spellEnd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sau</w:t>
      </w:r>
      <w:proofErr w:type="spellEnd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sănătății</w:t>
      </w:r>
      <w:proofErr w:type="spellEnd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243"/>
        <w:gridCol w:w="4768"/>
      </w:tblGrid>
      <w:tr w:rsidR="00275D73" w:rsidRPr="00275D73" w:rsidTr="001A427C">
        <w:tc>
          <w:tcPr>
            <w:tcW w:w="3005" w:type="dxa"/>
          </w:tcPr>
          <w:p w:rsidR="00275D73" w:rsidRPr="00275D73" w:rsidRDefault="00275D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Lovirea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alte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violențe</w:t>
            </w:r>
            <w:proofErr w:type="spellEnd"/>
          </w:p>
        </w:tc>
        <w:tc>
          <w:tcPr>
            <w:tcW w:w="1243" w:type="dxa"/>
          </w:tcPr>
          <w:p w:rsidR="00275D73" w:rsidRPr="00275D73" w:rsidRDefault="00275D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3 luni-2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amendă</w:t>
            </w:r>
            <w:proofErr w:type="spellEnd"/>
          </w:p>
        </w:tc>
        <w:tc>
          <w:tcPr>
            <w:tcW w:w="4768" w:type="dxa"/>
          </w:tcPr>
          <w:p w:rsidR="00275D73" w:rsidRPr="00275D73" w:rsidRDefault="00275D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Plângere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prealabilă</w:t>
            </w:r>
            <w:proofErr w:type="spellEnd"/>
          </w:p>
        </w:tc>
      </w:tr>
      <w:tr w:rsidR="00275D73" w:rsidRPr="00275D73" w:rsidTr="001A427C">
        <w:tc>
          <w:tcPr>
            <w:tcW w:w="3005" w:type="dxa"/>
          </w:tcPr>
          <w:p w:rsidR="00275D73" w:rsidRPr="00275D73" w:rsidRDefault="00275D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Vătămarea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corporală</w:t>
            </w:r>
            <w:proofErr w:type="spellEnd"/>
          </w:p>
        </w:tc>
        <w:tc>
          <w:tcPr>
            <w:tcW w:w="1243" w:type="dxa"/>
          </w:tcPr>
          <w:p w:rsidR="00275D73" w:rsidRPr="00275D73" w:rsidRDefault="00275D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2-7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</w:p>
        </w:tc>
        <w:tc>
          <w:tcPr>
            <w:tcW w:w="4768" w:type="dxa"/>
          </w:tcPr>
          <w:p w:rsidR="00275D73" w:rsidRPr="00275D73" w:rsidRDefault="00275D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Tentativa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se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pedepsește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;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îngrijiri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peste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90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zile</w:t>
            </w:r>
            <w:proofErr w:type="spellEnd"/>
          </w:p>
        </w:tc>
      </w:tr>
      <w:tr w:rsidR="00275D73" w:rsidRPr="00275D73" w:rsidTr="001A427C">
        <w:tc>
          <w:tcPr>
            <w:tcW w:w="3005" w:type="dxa"/>
          </w:tcPr>
          <w:p w:rsidR="00275D73" w:rsidRDefault="00275D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Lovirile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vătămările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cauzatoare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moarte</w:t>
            </w:r>
            <w:proofErr w:type="spellEnd"/>
          </w:p>
        </w:tc>
        <w:tc>
          <w:tcPr>
            <w:tcW w:w="1243" w:type="dxa"/>
          </w:tcPr>
          <w:p w:rsidR="00275D73" w:rsidRDefault="00275D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6-12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</w:p>
        </w:tc>
        <w:tc>
          <w:tcPr>
            <w:tcW w:w="4768" w:type="dxa"/>
          </w:tcPr>
          <w:p w:rsidR="00275D73" w:rsidRDefault="00275D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</w:tr>
      <w:tr w:rsidR="00275D73" w:rsidRPr="00275D73" w:rsidTr="001A427C">
        <w:tc>
          <w:tcPr>
            <w:tcW w:w="3005" w:type="dxa"/>
          </w:tcPr>
          <w:p w:rsidR="00275D73" w:rsidRDefault="00275D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Vătămare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corporală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din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culpă</w:t>
            </w:r>
            <w:proofErr w:type="spellEnd"/>
          </w:p>
        </w:tc>
        <w:tc>
          <w:tcPr>
            <w:tcW w:w="1243" w:type="dxa"/>
          </w:tcPr>
          <w:p w:rsidR="00275D73" w:rsidRDefault="00275D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3 luni-1 an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amendă</w:t>
            </w:r>
            <w:proofErr w:type="spellEnd"/>
          </w:p>
        </w:tc>
        <w:tc>
          <w:tcPr>
            <w:tcW w:w="4768" w:type="dxa"/>
          </w:tcPr>
          <w:p w:rsidR="00275D73" w:rsidRDefault="00275D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</w:tr>
      <w:tr w:rsidR="00275D73" w:rsidRPr="00275D73" w:rsidTr="001A427C">
        <w:tc>
          <w:tcPr>
            <w:tcW w:w="3005" w:type="dxa"/>
          </w:tcPr>
          <w:p w:rsidR="00275D73" w:rsidRDefault="00275D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Rele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tratamente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aplicate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minorului</w:t>
            </w:r>
            <w:proofErr w:type="spellEnd"/>
          </w:p>
        </w:tc>
        <w:tc>
          <w:tcPr>
            <w:tcW w:w="1243" w:type="dxa"/>
          </w:tcPr>
          <w:p w:rsidR="00275D73" w:rsidRDefault="00275D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768" w:type="dxa"/>
          </w:tcPr>
          <w:p w:rsidR="00275D73" w:rsidRDefault="00275D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Punerea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primejdie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gravă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prin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măsuri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tratamente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orice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fel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a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dezvoltării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fizice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intelectuale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morale a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minorului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de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către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părinți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orice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persoană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grija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căreia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se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află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minorul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se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pedepsește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închisoarea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la 3 la 7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interzicerea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exercitării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unor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drepturi</w:t>
            </w:r>
            <w:proofErr w:type="spellEnd"/>
            <w:r w:rsidRPr="00275D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275D73" w:rsidRPr="00275D73" w:rsidTr="001A427C">
        <w:tc>
          <w:tcPr>
            <w:tcW w:w="3005" w:type="dxa"/>
          </w:tcPr>
          <w:p w:rsidR="00275D73" w:rsidRDefault="00275D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Încăierarea</w:t>
            </w:r>
            <w:proofErr w:type="spellEnd"/>
          </w:p>
        </w:tc>
        <w:tc>
          <w:tcPr>
            <w:tcW w:w="1243" w:type="dxa"/>
          </w:tcPr>
          <w:p w:rsidR="00275D73" w:rsidRDefault="00275D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3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luni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– 1 an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amendă</w:t>
            </w:r>
            <w:proofErr w:type="spellEnd"/>
          </w:p>
        </w:tc>
        <w:tc>
          <w:tcPr>
            <w:tcW w:w="4768" w:type="dxa"/>
          </w:tcPr>
          <w:p w:rsidR="00275D73" w:rsidRPr="00275D73" w:rsidRDefault="00275D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</w:t>
      </w:r>
    </w:p>
    <w:p w:rsidR="00275D73" w:rsidRDefault="00B3669D">
      <w:pPr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proofErr w:type="spellStart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Infracțiuni</w:t>
      </w:r>
      <w:proofErr w:type="spellEnd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săvârșite</w:t>
      </w:r>
      <w:proofErr w:type="spellEnd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asupra</w:t>
      </w:r>
      <w:proofErr w:type="spellEnd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unui</w:t>
      </w:r>
      <w:proofErr w:type="spellEnd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membru</w:t>
      </w:r>
      <w:proofErr w:type="spellEnd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de </w:t>
      </w:r>
      <w:proofErr w:type="spellStart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familie</w:t>
      </w:r>
      <w:proofErr w:type="spellEnd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243"/>
        <w:gridCol w:w="4768"/>
      </w:tblGrid>
      <w:tr w:rsidR="00275D73" w:rsidRPr="00275D73" w:rsidTr="001A427C">
        <w:tc>
          <w:tcPr>
            <w:tcW w:w="3005" w:type="dxa"/>
          </w:tcPr>
          <w:p w:rsidR="00275D73" w:rsidRPr="00275D73" w:rsidRDefault="00275D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Violența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in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familie</w:t>
            </w:r>
            <w:proofErr w:type="spellEnd"/>
          </w:p>
        </w:tc>
        <w:tc>
          <w:tcPr>
            <w:tcW w:w="1243" w:type="dxa"/>
          </w:tcPr>
          <w:p w:rsidR="00275D73" w:rsidRPr="00275D73" w:rsidRDefault="00275D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768" w:type="dxa"/>
          </w:tcPr>
          <w:p w:rsidR="00275D73" w:rsidRPr="00275D73" w:rsidRDefault="00275D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Maximul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special se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majorează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cu o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pătrime</w:t>
            </w:r>
            <w:proofErr w:type="spellEnd"/>
          </w:p>
        </w:tc>
      </w:tr>
      <w:tr w:rsidR="00275D73" w:rsidRPr="00275D73" w:rsidTr="001A427C">
        <w:tc>
          <w:tcPr>
            <w:tcW w:w="3005" w:type="dxa"/>
          </w:tcPr>
          <w:p w:rsidR="00275D73" w:rsidRPr="00275D73" w:rsidRDefault="00275D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Uciderea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nou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născutului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vătămarea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lui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către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mamă</w:t>
            </w:r>
            <w:proofErr w:type="spellEnd"/>
          </w:p>
        </w:tc>
        <w:tc>
          <w:tcPr>
            <w:tcW w:w="1243" w:type="dxa"/>
          </w:tcPr>
          <w:p w:rsidR="00275D73" w:rsidRPr="00275D73" w:rsidRDefault="00275D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1-5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</w:p>
        </w:tc>
        <w:tc>
          <w:tcPr>
            <w:tcW w:w="4768" w:type="dxa"/>
          </w:tcPr>
          <w:p w:rsidR="00275D73" w:rsidRPr="00275D73" w:rsidRDefault="00275D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B3669D" w:rsidRPr="00275D73" w:rsidRDefault="00B3669D">
      <w:pPr>
        <w:rPr>
          <w:rStyle w:val="slgi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lastRenderedPageBreak/>
        <w:t xml:space="preserve">                         </w:t>
      </w:r>
    </w:p>
    <w:p w:rsidR="00275D73" w:rsidRPr="00275D73" w:rsidRDefault="00B3669D">
      <w:pPr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proofErr w:type="spellStart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Agresiuni</w:t>
      </w:r>
      <w:proofErr w:type="spellEnd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asupra</w:t>
      </w:r>
      <w:proofErr w:type="spellEnd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fătului</w:t>
      </w:r>
      <w:proofErr w:type="spellEnd"/>
      <w:r w:rsidRPr="00275D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243"/>
        <w:gridCol w:w="4768"/>
      </w:tblGrid>
      <w:tr w:rsidR="00275D73" w:rsidRPr="00275D73" w:rsidTr="001A427C">
        <w:tc>
          <w:tcPr>
            <w:tcW w:w="3005" w:type="dxa"/>
          </w:tcPr>
          <w:p w:rsidR="00275D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Întreruperea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cursului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sarcinii</w:t>
            </w:r>
            <w:proofErr w:type="spellEnd"/>
          </w:p>
        </w:tc>
        <w:tc>
          <w:tcPr>
            <w:tcW w:w="1243" w:type="dxa"/>
          </w:tcPr>
          <w:p w:rsidR="00275D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6 luni-3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</w:p>
        </w:tc>
        <w:tc>
          <w:tcPr>
            <w:tcW w:w="4768" w:type="dxa"/>
          </w:tcPr>
          <w:p w:rsidR="00275D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De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persoane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neavizate</w:t>
            </w:r>
            <w:proofErr w:type="spellEnd"/>
          </w:p>
        </w:tc>
      </w:tr>
      <w:tr w:rsidR="00275D73" w:rsidRPr="00275D73" w:rsidTr="001A427C">
        <w:tc>
          <w:tcPr>
            <w:tcW w:w="3005" w:type="dxa"/>
          </w:tcPr>
          <w:p w:rsidR="00275D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Vătămarea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fătului</w:t>
            </w:r>
            <w:proofErr w:type="spellEnd"/>
          </w:p>
        </w:tc>
        <w:tc>
          <w:tcPr>
            <w:tcW w:w="1243" w:type="dxa"/>
          </w:tcPr>
          <w:p w:rsidR="00275D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3-7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</w:p>
        </w:tc>
        <w:tc>
          <w:tcPr>
            <w:tcW w:w="4768" w:type="dxa"/>
          </w:tcPr>
          <w:p w:rsidR="00275D73" w:rsidRPr="00275D73" w:rsidRDefault="00275D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</w:t>
      </w:r>
    </w:p>
    <w:p w:rsidR="00BF2673" w:rsidRPr="00BF2673" w:rsidRDefault="00B3669D">
      <w:pPr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proofErr w:type="spellStart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Infracțiuni</w:t>
      </w:r>
      <w:proofErr w:type="spellEnd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privind</w:t>
      </w:r>
      <w:proofErr w:type="spellEnd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obligația</w:t>
      </w:r>
      <w:proofErr w:type="spellEnd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asi</w:t>
      </w:r>
      <w:proofErr w:type="spellEnd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  <w:lang w:val="ro-RO"/>
        </w:rPr>
        <w:t xml:space="preserve">stență </w:t>
      </w:r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a </w:t>
      </w:r>
      <w:proofErr w:type="spellStart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celor</w:t>
      </w:r>
      <w:proofErr w:type="spellEnd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în</w:t>
      </w:r>
      <w:proofErr w:type="spellEnd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primejdie</w:t>
      </w:r>
      <w:proofErr w:type="spellEnd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243"/>
        <w:gridCol w:w="4768"/>
      </w:tblGrid>
      <w:tr w:rsidR="00BF2673" w:rsidRPr="00275D73" w:rsidTr="001A427C">
        <w:tc>
          <w:tcPr>
            <w:tcW w:w="3005" w:type="dxa"/>
          </w:tcPr>
          <w:p w:rsidR="00BF26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Lăsarea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fără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ajutor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unei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persoane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aflate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dificultate</w:t>
            </w:r>
            <w:proofErr w:type="spellEnd"/>
          </w:p>
        </w:tc>
        <w:tc>
          <w:tcPr>
            <w:tcW w:w="1243" w:type="dxa"/>
          </w:tcPr>
          <w:p w:rsidR="00BF26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3 luni-1 an</w:t>
            </w:r>
          </w:p>
        </w:tc>
        <w:tc>
          <w:tcPr>
            <w:tcW w:w="4768" w:type="dxa"/>
          </w:tcPr>
          <w:p w:rsidR="00BF26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Sau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amendă</w:t>
            </w:r>
            <w:proofErr w:type="spellEnd"/>
          </w:p>
        </w:tc>
      </w:tr>
      <w:tr w:rsidR="00BF2673" w:rsidRPr="00275D73" w:rsidTr="001A427C">
        <w:tc>
          <w:tcPr>
            <w:tcW w:w="3005" w:type="dxa"/>
          </w:tcPr>
          <w:p w:rsidR="00BF26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Împiedicarea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ajutorului</w:t>
            </w:r>
            <w:proofErr w:type="spellEnd"/>
          </w:p>
        </w:tc>
        <w:tc>
          <w:tcPr>
            <w:tcW w:w="1243" w:type="dxa"/>
          </w:tcPr>
          <w:p w:rsidR="00BF2673" w:rsidRPr="00BF2673" w:rsidRDefault="00BF2673" w:rsidP="00BF2673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1-3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</w:p>
        </w:tc>
        <w:tc>
          <w:tcPr>
            <w:tcW w:w="4768" w:type="dxa"/>
          </w:tcPr>
          <w:p w:rsidR="00BF26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</w:t>
      </w:r>
    </w:p>
    <w:p w:rsidR="00B3669D" w:rsidRDefault="00B3669D">
      <w:pPr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proofErr w:type="spellStart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Infracțiuni</w:t>
      </w:r>
      <w:proofErr w:type="spellEnd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contra </w:t>
      </w:r>
      <w:proofErr w:type="spellStart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libertății</w:t>
      </w:r>
      <w:proofErr w:type="spellEnd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persoanei</w:t>
      </w:r>
      <w:proofErr w:type="spellEnd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243"/>
        <w:gridCol w:w="4768"/>
      </w:tblGrid>
      <w:tr w:rsidR="00BF2673" w:rsidRPr="00275D73" w:rsidTr="001A427C">
        <w:tc>
          <w:tcPr>
            <w:tcW w:w="3005" w:type="dxa"/>
          </w:tcPr>
          <w:p w:rsidR="00BF26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Lipsirea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libertate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mod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ilegal</w:t>
            </w:r>
            <w:proofErr w:type="spellEnd"/>
          </w:p>
        </w:tc>
        <w:tc>
          <w:tcPr>
            <w:tcW w:w="1243" w:type="dxa"/>
          </w:tcPr>
          <w:p w:rsidR="00BF26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1-7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</w:p>
        </w:tc>
        <w:tc>
          <w:tcPr>
            <w:tcW w:w="4768" w:type="dxa"/>
          </w:tcPr>
          <w:p w:rsidR="00BF26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Dacă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fapta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este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săvârșită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: de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către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persoană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înarmată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asupra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unui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minor,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punând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pericol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sănătatea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viața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victimei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– 3-10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</w:p>
          <w:p w:rsidR="00BF26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  <w:p w:rsidR="00BF26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Dacă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fapta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avut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ca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urmare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moartea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– 7-15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</w:p>
          <w:p w:rsidR="00BF26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  <w:p w:rsidR="00BF26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Tentativa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se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pedepsește</w:t>
            </w:r>
            <w:proofErr w:type="spellEnd"/>
          </w:p>
        </w:tc>
      </w:tr>
      <w:tr w:rsidR="00BF2673" w:rsidRPr="00275D73" w:rsidTr="001A427C">
        <w:tc>
          <w:tcPr>
            <w:tcW w:w="3005" w:type="dxa"/>
          </w:tcPr>
          <w:p w:rsidR="00BF26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Amenințarea</w:t>
            </w:r>
            <w:proofErr w:type="spellEnd"/>
          </w:p>
        </w:tc>
        <w:tc>
          <w:tcPr>
            <w:tcW w:w="1243" w:type="dxa"/>
          </w:tcPr>
          <w:p w:rsidR="00BF26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3 luni-1 an</w:t>
            </w:r>
          </w:p>
        </w:tc>
        <w:tc>
          <w:tcPr>
            <w:tcW w:w="4768" w:type="dxa"/>
          </w:tcPr>
          <w:p w:rsidR="00BF26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</w:tr>
      <w:tr w:rsidR="00BF2673" w:rsidRPr="00275D73" w:rsidTr="001A427C">
        <w:tc>
          <w:tcPr>
            <w:tcW w:w="3005" w:type="dxa"/>
          </w:tcPr>
          <w:p w:rsidR="00BF26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Șantajul</w:t>
            </w:r>
            <w:proofErr w:type="spellEnd"/>
          </w:p>
        </w:tc>
        <w:tc>
          <w:tcPr>
            <w:tcW w:w="1243" w:type="dxa"/>
          </w:tcPr>
          <w:p w:rsidR="00BF26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1-5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</w:p>
        </w:tc>
        <w:tc>
          <w:tcPr>
            <w:tcW w:w="4768" w:type="dxa"/>
          </w:tcPr>
          <w:p w:rsidR="00BF26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</w:tr>
      <w:tr w:rsidR="00BF2673" w:rsidRPr="00275D73" w:rsidTr="001A427C">
        <w:tc>
          <w:tcPr>
            <w:tcW w:w="3005" w:type="dxa"/>
          </w:tcPr>
          <w:p w:rsidR="00BF26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Hărțuirea</w:t>
            </w:r>
            <w:proofErr w:type="spellEnd"/>
          </w:p>
        </w:tc>
        <w:tc>
          <w:tcPr>
            <w:tcW w:w="1243" w:type="dxa"/>
          </w:tcPr>
          <w:p w:rsidR="00BF26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3-6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luni</w:t>
            </w:r>
            <w:proofErr w:type="spellEnd"/>
          </w:p>
        </w:tc>
        <w:tc>
          <w:tcPr>
            <w:tcW w:w="4768" w:type="dxa"/>
          </w:tcPr>
          <w:p w:rsidR="00BF26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BF2673" w:rsidRPr="00BF2673" w:rsidRDefault="00BF2673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</w:p>
    <w:p w:rsidR="00BF2673" w:rsidRPr="00BF2673" w:rsidRDefault="00B3669D">
      <w:pPr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proofErr w:type="spellStart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Traficul</w:t>
      </w:r>
      <w:proofErr w:type="spellEnd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și</w:t>
      </w:r>
      <w:proofErr w:type="spellEnd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exploatarea</w:t>
      </w:r>
      <w:proofErr w:type="spellEnd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persoanelor</w:t>
      </w:r>
      <w:proofErr w:type="spellEnd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vulnerabile</w:t>
      </w:r>
      <w:proofErr w:type="spellEnd"/>
      <w:r w:rsidRPr="00BF2673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243"/>
        <w:gridCol w:w="4768"/>
      </w:tblGrid>
      <w:tr w:rsidR="00BF2673" w:rsidRPr="00275D73" w:rsidTr="001A427C">
        <w:tc>
          <w:tcPr>
            <w:tcW w:w="3005" w:type="dxa"/>
          </w:tcPr>
          <w:p w:rsidR="00BF26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Sclavia</w:t>
            </w:r>
            <w:proofErr w:type="spellEnd"/>
          </w:p>
        </w:tc>
        <w:tc>
          <w:tcPr>
            <w:tcW w:w="1243" w:type="dxa"/>
          </w:tcPr>
          <w:p w:rsidR="00BF26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3-10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</w:p>
        </w:tc>
        <w:tc>
          <w:tcPr>
            <w:tcW w:w="4768" w:type="dxa"/>
          </w:tcPr>
          <w:p w:rsidR="00BF26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</w:tr>
      <w:tr w:rsidR="00BF2673" w:rsidRPr="00275D73" w:rsidTr="001A427C">
        <w:tc>
          <w:tcPr>
            <w:tcW w:w="3005" w:type="dxa"/>
          </w:tcPr>
          <w:p w:rsidR="00BF26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Traficul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persoane</w:t>
            </w:r>
            <w:proofErr w:type="spellEnd"/>
          </w:p>
        </w:tc>
        <w:tc>
          <w:tcPr>
            <w:tcW w:w="1243" w:type="dxa"/>
          </w:tcPr>
          <w:p w:rsidR="00BF26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3-10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</w:p>
        </w:tc>
        <w:tc>
          <w:tcPr>
            <w:tcW w:w="4768" w:type="dxa"/>
          </w:tcPr>
          <w:p w:rsidR="00BF26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Funcționar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public 5-12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</w:p>
        </w:tc>
      </w:tr>
      <w:tr w:rsidR="00BF2673" w:rsidRPr="00275D73" w:rsidTr="001A427C">
        <w:tc>
          <w:tcPr>
            <w:tcW w:w="3005" w:type="dxa"/>
          </w:tcPr>
          <w:p w:rsidR="00BF26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Traficul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minori</w:t>
            </w:r>
            <w:proofErr w:type="spellEnd"/>
          </w:p>
        </w:tc>
        <w:tc>
          <w:tcPr>
            <w:tcW w:w="1243" w:type="dxa"/>
          </w:tcPr>
          <w:p w:rsidR="00BF26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5-10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</w:p>
        </w:tc>
        <w:tc>
          <w:tcPr>
            <w:tcW w:w="4768" w:type="dxa"/>
          </w:tcPr>
          <w:p w:rsidR="00BF26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7-12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;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funcționar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profesor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a pus in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pericol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viata</w:t>
            </w:r>
            <w:proofErr w:type="spellEnd"/>
          </w:p>
        </w:tc>
      </w:tr>
      <w:tr w:rsidR="00BF2673" w:rsidRPr="00275D73" w:rsidTr="001A427C">
        <w:tc>
          <w:tcPr>
            <w:tcW w:w="3005" w:type="dxa"/>
          </w:tcPr>
          <w:p w:rsidR="00BF26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Supunerea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la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muncă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forțată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obligatorie</w:t>
            </w:r>
            <w:proofErr w:type="spellEnd"/>
          </w:p>
        </w:tc>
        <w:tc>
          <w:tcPr>
            <w:tcW w:w="1243" w:type="dxa"/>
          </w:tcPr>
          <w:p w:rsidR="00BF26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1-3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</w:p>
        </w:tc>
        <w:tc>
          <w:tcPr>
            <w:tcW w:w="4768" w:type="dxa"/>
          </w:tcPr>
          <w:p w:rsidR="00BF26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</w:tr>
      <w:tr w:rsidR="00BF2673" w:rsidRPr="00275D73" w:rsidTr="001A427C">
        <w:tc>
          <w:tcPr>
            <w:tcW w:w="3005" w:type="dxa"/>
          </w:tcPr>
          <w:p w:rsidR="00BF26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Proxenetismul</w:t>
            </w:r>
            <w:proofErr w:type="spellEnd"/>
          </w:p>
        </w:tc>
        <w:tc>
          <w:tcPr>
            <w:tcW w:w="1243" w:type="dxa"/>
          </w:tcPr>
          <w:p w:rsidR="00BF26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2-7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</w:p>
        </w:tc>
        <w:tc>
          <w:tcPr>
            <w:tcW w:w="4768" w:type="dxa"/>
          </w:tcPr>
          <w:p w:rsidR="00BF26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</w:tr>
      <w:tr w:rsidR="00BF2673" w:rsidRPr="00275D73" w:rsidTr="001A427C">
        <w:tc>
          <w:tcPr>
            <w:tcW w:w="3005" w:type="dxa"/>
          </w:tcPr>
          <w:p w:rsidR="00BF26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Exploatarea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cerșetoriei</w:t>
            </w:r>
            <w:proofErr w:type="spellEnd"/>
          </w:p>
        </w:tc>
        <w:tc>
          <w:tcPr>
            <w:tcW w:w="1243" w:type="dxa"/>
          </w:tcPr>
          <w:p w:rsidR="00BF26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1-5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</w:p>
        </w:tc>
        <w:tc>
          <w:tcPr>
            <w:tcW w:w="4768" w:type="dxa"/>
          </w:tcPr>
          <w:p w:rsidR="00BF26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</w:tr>
      <w:tr w:rsidR="00BF2673" w:rsidRPr="00275D73" w:rsidTr="001A427C">
        <w:tc>
          <w:tcPr>
            <w:tcW w:w="3005" w:type="dxa"/>
          </w:tcPr>
          <w:p w:rsidR="00BF26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Folosirea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unui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minor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scop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cerșetorie</w:t>
            </w:r>
            <w:proofErr w:type="spellEnd"/>
          </w:p>
        </w:tc>
        <w:tc>
          <w:tcPr>
            <w:tcW w:w="1243" w:type="dxa"/>
          </w:tcPr>
          <w:p w:rsidR="00BF26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3 luni-2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amendă</w:t>
            </w:r>
            <w:proofErr w:type="spellEnd"/>
          </w:p>
        </w:tc>
        <w:tc>
          <w:tcPr>
            <w:tcW w:w="4768" w:type="dxa"/>
          </w:tcPr>
          <w:p w:rsidR="00BF26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</w:tr>
      <w:tr w:rsidR="00BF2673" w:rsidRPr="00275D73" w:rsidTr="001A427C">
        <w:tc>
          <w:tcPr>
            <w:tcW w:w="3005" w:type="dxa"/>
          </w:tcPr>
          <w:p w:rsidR="00BF26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Folosirea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serviciilor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unei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persoane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exploatate</w:t>
            </w:r>
            <w:proofErr w:type="spellEnd"/>
          </w:p>
        </w:tc>
        <w:tc>
          <w:tcPr>
            <w:tcW w:w="1243" w:type="dxa"/>
          </w:tcPr>
          <w:p w:rsidR="00BF26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6 luni-3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</w:p>
        </w:tc>
        <w:tc>
          <w:tcPr>
            <w:tcW w:w="4768" w:type="dxa"/>
          </w:tcPr>
          <w:p w:rsidR="00BF26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</w:tr>
      <w:tr w:rsidR="00BF2673" w:rsidRPr="00275D73" w:rsidTr="001A427C">
        <w:tc>
          <w:tcPr>
            <w:tcW w:w="3005" w:type="dxa"/>
          </w:tcPr>
          <w:p w:rsidR="00BF26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Folosirea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prostituției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infantile</w:t>
            </w:r>
          </w:p>
        </w:tc>
        <w:tc>
          <w:tcPr>
            <w:tcW w:w="1243" w:type="dxa"/>
          </w:tcPr>
          <w:p w:rsidR="00BF26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768" w:type="dxa"/>
          </w:tcPr>
          <w:p w:rsidR="00BF2673" w:rsidRPr="00275D73" w:rsidRDefault="00BF2673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Întreținerea</w:t>
            </w:r>
            <w:proofErr w:type="spellEnd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oricărui</w:t>
            </w:r>
            <w:proofErr w:type="spellEnd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act de </w:t>
            </w:r>
            <w:proofErr w:type="spellStart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natură</w:t>
            </w:r>
            <w:proofErr w:type="spellEnd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sexuală</w:t>
            </w:r>
            <w:proofErr w:type="spellEnd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cu un minor care </w:t>
            </w:r>
            <w:proofErr w:type="spellStart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practică</w:t>
            </w:r>
            <w:proofErr w:type="spellEnd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prostituția</w:t>
            </w:r>
            <w:proofErr w:type="spellEnd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se </w:t>
            </w:r>
            <w:proofErr w:type="spellStart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pedepsește</w:t>
            </w:r>
            <w:proofErr w:type="spellEnd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închisoare</w:t>
            </w:r>
            <w:proofErr w:type="spellEnd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la 3 </w:t>
            </w:r>
            <w:proofErr w:type="spellStart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luni</w:t>
            </w:r>
            <w:proofErr w:type="spellEnd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la 2 </w:t>
            </w:r>
            <w:proofErr w:type="spellStart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amendă</w:t>
            </w:r>
            <w:proofErr w:type="spellEnd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dacă</w:t>
            </w:r>
            <w:proofErr w:type="spellEnd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fapta</w:t>
            </w:r>
            <w:proofErr w:type="spellEnd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nu </w:t>
            </w:r>
            <w:proofErr w:type="spellStart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constituie</w:t>
            </w:r>
            <w:proofErr w:type="spellEnd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o </w:t>
            </w:r>
            <w:proofErr w:type="spellStart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infracțiune</w:t>
            </w:r>
            <w:proofErr w:type="spellEnd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mai</w:t>
            </w:r>
            <w:proofErr w:type="spellEnd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gravă</w:t>
            </w:r>
            <w:proofErr w:type="spellEnd"/>
            <w:r w:rsidRPr="00BF2673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E56BDB" w:rsidRPr="00275D73" w:rsidTr="001A427C">
        <w:tc>
          <w:tcPr>
            <w:tcW w:w="3005" w:type="dxa"/>
          </w:tcPr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Tentativa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se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pedepsește</w:t>
            </w:r>
            <w:proofErr w:type="spellEnd"/>
          </w:p>
        </w:tc>
        <w:tc>
          <w:tcPr>
            <w:tcW w:w="1243" w:type="dxa"/>
          </w:tcPr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768" w:type="dxa"/>
          </w:tcPr>
          <w:p w:rsidR="00E56BDB" w:rsidRPr="00BF2673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</w:t>
      </w:r>
    </w:p>
    <w:p w:rsidR="00B3669D" w:rsidRDefault="00B3669D">
      <w:pPr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proofErr w:type="spellStart"/>
      <w:r w:rsidRPr="00E56BDB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Infracțiuni</w:t>
      </w:r>
      <w:proofErr w:type="spellEnd"/>
      <w:r w:rsidRPr="00E56BDB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contra </w:t>
      </w:r>
      <w:proofErr w:type="spellStart"/>
      <w:r w:rsidRPr="00E56BDB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libertății</w:t>
      </w:r>
      <w:proofErr w:type="spellEnd"/>
      <w:r w:rsidRPr="00E56BDB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și</w:t>
      </w:r>
      <w:proofErr w:type="spellEnd"/>
      <w:r w:rsidRPr="00E56BDB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integrității</w:t>
      </w:r>
      <w:proofErr w:type="spellEnd"/>
      <w:r w:rsidRPr="00E56BDB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sexuale</w:t>
      </w:r>
      <w:proofErr w:type="spellEnd"/>
      <w:r w:rsidRPr="00E56BDB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243"/>
        <w:gridCol w:w="4768"/>
      </w:tblGrid>
      <w:tr w:rsidR="00E56BDB" w:rsidRPr="00275D73" w:rsidTr="001A427C">
        <w:tc>
          <w:tcPr>
            <w:tcW w:w="3005" w:type="dxa"/>
          </w:tcPr>
          <w:p w:rsidR="00E56BDB" w:rsidRPr="00275D73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lastRenderedPageBreak/>
              <w:t>Violul</w:t>
            </w:r>
            <w:proofErr w:type="spellEnd"/>
          </w:p>
        </w:tc>
        <w:tc>
          <w:tcPr>
            <w:tcW w:w="1243" w:type="dxa"/>
          </w:tcPr>
          <w:p w:rsidR="00E56BDB" w:rsidRPr="00275D73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768" w:type="dxa"/>
          </w:tcPr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Raportul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sexual,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actul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sexual oral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anal cu o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persoană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săvârșit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prin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constrângere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punere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imposibilitate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a se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apăra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ori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a-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exprima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voința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profitând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această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stare, se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pedepsește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închisoarea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la 5 la 10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interzicerea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exercitării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unor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drepturi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.</w:t>
            </w:r>
          </w:p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Pedeapsa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se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majorează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la 7-12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dacă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:</w:t>
            </w:r>
          </w:p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-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victima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se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află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îngrijirea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ocrotirea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educarea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paza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tratamentul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făptuitorului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;</w:t>
            </w:r>
          </w:p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-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fapta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fost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comisă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către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un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membru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familie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către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o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persoană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care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conviețuiește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victima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;</w:t>
            </w:r>
          </w:p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-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victima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este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un minor</w:t>
            </w:r>
          </w:p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-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fapta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fost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comisă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scopul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obținerii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materiale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pornografice</w:t>
            </w:r>
            <w:proofErr w:type="spellEnd"/>
          </w:p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-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fapta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fost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săvârșită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două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mai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multe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persoane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împreună</w:t>
            </w:r>
            <w:proofErr w:type="spellEnd"/>
          </w:p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  <w:p w:rsidR="00E56BDB" w:rsidRPr="00275D73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Acțiunea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se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pune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mișcare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la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plângerea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prealabilă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tentativa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se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pedepsește</w:t>
            </w:r>
            <w:proofErr w:type="spellEnd"/>
          </w:p>
        </w:tc>
      </w:tr>
      <w:tr w:rsidR="00E56BDB" w:rsidRPr="00275D73" w:rsidTr="001A427C">
        <w:tc>
          <w:tcPr>
            <w:tcW w:w="3005" w:type="dxa"/>
          </w:tcPr>
          <w:p w:rsidR="00E56BDB" w:rsidRPr="00275D73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Agresiunea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sexuală</w:t>
            </w:r>
            <w:proofErr w:type="spellEnd"/>
          </w:p>
        </w:tc>
        <w:tc>
          <w:tcPr>
            <w:tcW w:w="1243" w:type="dxa"/>
          </w:tcPr>
          <w:p w:rsidR="00E56BDB" w:rsidRPr="00275D73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768" w:type="dxa"/>
          </w:tcPr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(1)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Actul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natură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sexuală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altul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decât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cele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prevăzute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art. 218, cu o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persoană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săvârșit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prin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constrângere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punere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imposibilitate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a se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apăra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a-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exprima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voința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ori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profitând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această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stare, se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pedepsește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închisoarea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la 2 la 7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interzicerea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exercitării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unor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drepturi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.</w:t>
            </w:r>
          </w:p>
          <w:p w:rsidR="00E56BDB" w:rsidRPr="00275D73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</w:tr>
      <w:tr w:rsidR="00E56BDB" w:rsidRPr="00275D73" w:rsidTr="001A427C">
        <w:tc>
          <w:tcPr>
            <w:tcW w:w="3005" w:type="dxa"/>
          </w:tcPr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Actul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sexual cu un minor</w:t>
            </w:r>
          </w:p>
        </w:tc>
        <w:tc>
          <w:tcPr>
            <w:tcW w:w="1243" w:type="dxa"/>
          </w:tcPr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768" w:type="dxa"/>
          </w:tcPr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(1)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Raportul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sexual,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actul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sexual oral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anal,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precum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orice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alte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acte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penetrare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vaginală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anală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comise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cu un minor cu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vârsta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între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14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16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se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pedepsesc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închisoarea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la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unu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la 5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.</w:t>
            </w:r>
          </w:p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Fapta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prevăzută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la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alin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. (1),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săvârșită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asupra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unui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minor care nu a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împlinit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vârsta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14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se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pedepsește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închisoarea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la 2 la 9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interzicerea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exercitării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unor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drepturi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.</w:t>
            </w:r>
          </w:p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  <w:p w:rsidR="00E56BDB" w:rsidRPr="00275D73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(6)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Faptele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prevăzute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la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alin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. (1)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(2),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precum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la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alin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. (4) </w:t>
            </w:r>
            <w:proofErr w:type="gram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lit</w:t>
            </w:r>
            <w:proofErr w:type="gram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. e) </w:t>
            </w:r>
            <w:proofErr w:type="gram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nu</w:t>
            </w:r>
            <w:proofErr w:type="gram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se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sancționează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dacă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diferența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vârstă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nu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depășește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3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E56BDB" w:rsidRPr="00275D73" w:rsidTr="001A427C">
        <w:tc>
          <w:tcPr>
            <w:tcW w:w="3005" w:type="dxa"/>
          </w:tcPr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Coruperea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sexuală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minorilor</w:t>
            </w:r>
            <w:proofErr w:type="spellEnd"/>
          </w:p>
        </w:tc>
        <w:tc>
          <w:tcPr>
            <w:tcW w:w="1243" w:type="dxa"/>
          </w:tcPr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768" w:type="dxa"/>
          </w:tcPr>
          <w:p w:rsidR="00E56BDB" w:rsidRP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(1)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Comiterea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unui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act de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natură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sexuală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altul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decât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cel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prevăzut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art. 220,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împotriva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unui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minor care nu a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împlinit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vârsta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14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precum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determinarea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minorului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suporte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ori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efectueze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un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astfel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act se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pedepsesc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închisoarea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la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unu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la 5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E56BDB" w:rsidRPr="00275D73" w:rsidTr="001A427C">
        <w:tc>
          <w:tcPr>
            <w:tcW w:w="3005" w:type="dxa"/>
          </w:tcPr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Racolarea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minorilor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scopuri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sexuale</w:t>
            </w:r>
            <w:proofErr w:type="spellEnd"/>
          </w:p>
        </w:tc>
        <w:tc>
          <w:tcPr>
            <w:tcW w:w="1243" w:type="dxa"/>
          </w:tcPr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768" w:type="dxa"/>
          </w:tcPr>
          <w:p w:rsidR="00E56BDB" w:rsidRP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(1)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Fapta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persoanei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majore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a-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propune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unui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minor care nu </w:t>
            </w:r>
            <w:proofErr w:type="gram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</w:t>
            </w:r>
            <w:proofErr w:type="gram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împlinit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vârsta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16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se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întâlnească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scopul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comiterii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unui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act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dintre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cele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prevăzute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art. 220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art. 374,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inclusiv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lastRenderedPageBreak/>
              <w:t>atunci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când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propunerea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fost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făcută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prin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mijloacele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transmitere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la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distanță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se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pedepsește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închisoare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la 6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luni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la 3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amendă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E56BDB" w:rsidRPr="00275D73" w:rsidTr="001A427C">
        <w:tc>
          <w:tcPr>
            <w:tcW w:w="3005" w:type="dxa"/>
          </w:tcPr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243" w:type="dxa"/>
          </w:tcPr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768" w:type="dxa"/>
          </w:tcPr>
          <w:p w:rsidR="00E56BDB" w:rsidRP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E56BDB" w:rsidRDefault="00E56BDB">
      <w:pPr>
        <w:rPr>
          <w:rStyle w:val="slgi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E56BDB" w:rsidRPr="00E56BDB" w:rsidRDefault="00E56BDB" w:rsidP="00E56BDB">
      <w:pPr>
        <w:jc w:val="both"/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Dacă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faptele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prevăzute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la art. 220-222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sunt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săvârșite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două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mai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multe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împreună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persoană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care a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mai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comis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anterior o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infracțiune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contra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libertății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integrității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sexuale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asupra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unui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minor, o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infracțiune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pornografie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infantilă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proxenetism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asupra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unui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minor,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limitele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speciale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pedepsei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majorează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cu o </w:t>
      </w:r>
      <w:proofErr w:type="spellStart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treime</w:t>
      </w:r>
      <w:proofErr w:type="spellEnd"/>
      <w:r w:rsidRPr="00E56BDB"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E56BDB" w:rsidRDefault="00E56BDB">
      <w:pPr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B3669D" w:rsidRPr="00E56BDB" w:rsidRDefault="00B3669D">
      <w:pPr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proofErr w:type="spellStart"/>
      <w:r w:rsidRPr="00E56BDB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Infracțiuni</w:t>
      </w:r>
      <w:proofErr w:type="spellEnd"/>
      <w:r w:rsidRPr="00E56BDB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E56BDB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ce</w:t>
      </w:r>
      <w:proofErr w:type="spellEnd"/>
      <w:proofErr w:type="gramEnd"/>
      <w:r w:rsidRPr="00E56BDB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aduc</w:t>
      </w:r>
      <w:proofErr w:type="spellEnd"/>
      <w:r w:rsidRPr="00E56BDB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atingere</w:t>
      </w:r>
      <w:proofErr w:type="spellEnd"/>
      <w:r w:rsidRPr="00E56BDB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domiciliului</w:t>
      </w:r>
      <w:proofErr w:type="spellEnd"/>
      <w:r w:rsidRPr="00E56BDB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și</w:t>
      </w:r>
      <w:proofErr w:type="spellEnd"/>
      <w:r w:rsidRPr="00E56BDB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BDB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>vieții</w:t>
      </w:r>
      <w:proofErr w:type="spellEnd"/>
      <w:r w:rsidRPr="00E56BDB">
        <w:rPr>
          <w:rStyle w:val="spar"/>
          <w:rFonts w:ascii="Cambria" w:hAnsi="Cambria" w:cs="Courier New"/>
          <w:b/>
          <w:i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private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243"/>
        <w:gridCol w:w="4768"/>
      </w:tblGrid>
      <w:tr w:rsidR="00E56BDB" w:rsidRPr="00275D73" w:rsidTr="001A427C">
        <w:tc>
          <w:tcPr>
            <w:tcW w:w="3005" w:type="dxa"/>
          </w:tcPr>
          <w:p w:rsidR="00E56BDB" w:rsidRPr="00275D73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Violarea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domiciliu</w:t>
            </w:r>
            <w:proofErr w:type="spellEnd"/>
          </w:p>
        </w:tc>
        <w:tc>
          <w:tcPr>
            <w:tcW w:w="1243" w:type="dxa"/>
          </w:tcPr>
          <w:p w:rsidR="00E56BDB" w:rsidRPr="00275D73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3 luni-2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</w:p>
        </w:tc>
        <w:tc>
          <w:tcPr>
            <w:tcW w:w="4768" w:type="dxa"/>
          </w:tcPr>
          <w:p w:rsidR="00E56BDB" w:rsidRPr="00275D73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Persoana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inarmata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: 3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luni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– 2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</w:p>
        </w:tc>
      </w:tr>
      <w:tr w:rsidR="00E56BDB" w:rsidRPr="00275D73" w:rsidTr="001A427C">
        <w:tc>
          <w:tcPr>
            <w:tcW w:w="3005" w:type="dxa"/>
          </w:tcPr>
          <w:p w:rsidR="00E56BDB" w:rsidRPr="00275D73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Violarea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sediului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profesional</w:t>
            </w:r>
            <w:proofErr w:type="spellEnd"/>
          </w:p>
        </w:tc>
        <w:tc>
          <w:tcPr>
            <w:tcW w:w="1243" w:type="dxa"/>
          </w:tcPr>
          <w:p w:rsidR="00E56BDB" w:rsidRPr="00275D73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768" w:type="dxa"/>
          </w:tcPr>
          <w:p w:rsidR="00E56BDB" w:rsidRPr="00275D73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(1)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Pătrunderea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fără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drept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orice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mod,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oricare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dintre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sediile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unde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o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persoană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juridică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fizică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își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desfășoară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activitatea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profesională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ori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refuzul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a le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părăsi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la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cererea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persoanei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îndreptățite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se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pedepsește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închisoare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la 3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luni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la 2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amendă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E56BDB" w:rsidRPr="00275D73" w:rsidTr="001A427C">
        <w:tc>
          <w:tcPr>
            <w:tcW w:w="3005" w:type="dxa"/>
          </w:tcPr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Violarea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vieții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private</w:t>
            </w:r>
          </w:p>
        </w:tc>
        <w:tc>
          <w:tcPr>
            <w:tcW w:w="1243" w:type="dxa"/>
          </w:tcPr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768" w:type="dxa"/>
          </w:tcPr>
          <w:p w:rsidR="00E56BDB" w:rsidRPr="00275D73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Atingerea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adusă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vieții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private,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fără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drept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prin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fotografierea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captarea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înregistrarea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imagini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ascultarea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mijloace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tehnice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înregistrarea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audio a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unei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persoane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aflate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într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-o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locuință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încăpere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ori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dependința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ținând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aceasta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unei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convorbiri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private se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pedepsește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închisoare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la o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lună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la 6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luni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amendă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E56BDB" w:rsidRPr="00275D73" w:rsidTr="001A427C">
        <w:tc>
          <w:tcPr>
            <w:tcW w:w="3005" w:type="dxa"/>
          </w:tcPr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Divulgarea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secretului</w:t>
            </w:r>
            <w:proofErr w:type="spellEnd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profesional</w:t>
            </w:r>
            <w:proofErr w:type="spellEnd"/>
          </w:p>
        </w:tc>
        <w:tc>
          <w:tcPr>
            <w:tcW w:w="1243" w:type="dxa"/>
          </w:tcPr>
          <w:p w:rsid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768" w:type="dxa"/>
          </w:tcPr>
          <w:p w:rsidR="00E56BDB" w:rsidRPr="00E56BDB" w:rsidRDefault="00E56BDB" w:rsidP="001A427C">
            <w:pPr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</w:pPr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(1)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Divulgarea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fără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drept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a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unor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date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informații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privind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viața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privată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unei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persoane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de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natură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aducă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un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prejudiciu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unei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persoane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, de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către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acela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care a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luat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cunoștință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despre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acestea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virtutea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profesiei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ori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funcției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care are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obligația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păstrării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confidențialității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privire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la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aceste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date, se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pedepsește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închisoare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de la 3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luni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la 3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ani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sau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amendă</w:t>
            </w:r>
            <w:proofErr w:type="spellEnd"/>
            <w:r w:rsidRPr="00E56BDB">
              <w:rPr>
                <w:rStyle w:val="slgi"/>
                <w:rFonts w:ascii="Cambria" w:hAnsi="Cambria" w:cs="Courier New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</w:tbl>
    <w:p w:rsidR="00B3669D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</w:p>
    <w:p w:rsidR="00E56BDB" w:rsidRDefault="00E56BDB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</w:p>
    <w:p w:rsidR="00E56BDB" w:rsidRDefault="00E56BDB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</w:p>
    <w:p w:rsidR="00E56BDB" w:rsidRDefault="00E56BDB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</w:p>
    <w:p w:rsidR="00E56BDB" w:rsidRDefault="00E56BDB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</w:p>
    <w:p w:rsidR="00E56BDB" w:rsidRDefault="00E56BDB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</w:p>
    <w:p w:rsidR="00E56BDB" w:rsidRDefault="00E56BDB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E56BDB" w:rsidRPr="0015188A" w:rsidRDefault="00E56BDB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lastRenderedPageBreak/>
        <w:t>Infracțiuni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contra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patrimoniului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Furtul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Tâlhăria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pirateria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contra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patrimoniului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nesocotirea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încrederii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Fraude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comise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sisteme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informatice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mijloace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plată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electronice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   </w:t>
      </w:r>
    </w:p>
    <w:p w:rsidR="00B3669D" w:rsidRPr="0015188A" w:rsidRDefault="00B3669D">
      <w:pPr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Distrugerea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tulburarea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posesie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autoritatea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frontiera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de stat</w:t>
      </w:r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contra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autorității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frontiera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de stat    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contra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înfăptuirii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justiției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</w:t>
      </w:r>
    </w:p>
    <w:p w:rsidR="00B3669D" w:rsidRPr="0015188A" w:rsidRDefault="00B3669D">
      <w:pPr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corupție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serviciu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corupție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serviciu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fals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Falsificarea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monede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, timbre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de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alte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valori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</w:t>
      </w:r>
    </w:p>
    <w:p w:rsidR="00B3669D" w:rsidRPr="0015188A" w:rsidRDefault="00B3669D">
      <w:pPr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Falsificarea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instrumentelor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autentificare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marcare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Falsuri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înscrisuri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</w:t>
      </w:r>
    </w:p>
    <w:p w:rsidR="00B3669D" w:rsidRPr="0015188A" w:rsidRDefault="00B3669D">
      <w:pPr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contra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siguranței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publice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contra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siguranței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circulației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pe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căile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ferate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contra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siguranței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circulației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pe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drumurile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publice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Nerespectarea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regimului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armelor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munițiilor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materialelor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nucleare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materiilor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   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explozive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privitoare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regimul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stabilit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alte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activități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reglementate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lege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contra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sănătății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publice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lastRenderedPageBreak/>
        <w:t>Infracțiuni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contra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siguranței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integrității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sistemelor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datelor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informatice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aduc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atingere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unor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relații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conviețuirea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  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contra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ordinii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liniștii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publice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contra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familiei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contra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libertății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religioase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respectului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datorat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persoanelor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decedate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electorale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contra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securității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naționale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contra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capacității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luptă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a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forțelor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armate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săvârșite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militari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săvârșite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militari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civili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</w:p>
    <w:p w:rsidR="00B3669D" w:rsidRPr="0015188A" w:rsidRDefault="00B3669D">
      <w:pPr>
        <w:rPr>
          <w:rStyle w:val="slgi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genocid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, contra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umanității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>război</w:t>
      </w:r>
      <w:proofErr w:type="spellEnd"/>
      <w:r w:rsidRPr="0015188A">
        <w:rPr>
          <w:rStyle w:val="spar"/>
          <w:rFonts w:ascii="Cambria" w:hAnsi="Cambria" w:cs="Courier New"/>
          <w:b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</w:t>
      </w:r>
    </w:p>
    <w:p w:rsidR="00B3669D" w:rsidRPr="0015188A" w:rsidRDefault="00B3669D">
      <w:pPr>
        <w:rPr>
          <w:rStyle w:val="slgi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genocid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contra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umanității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</w:t>
      </w:r>
    </w:p>
    <w:p w:rsidR="00A07D92" w:rsidRPr="0015188A" w:rsidRDefault="00B3669D">
      <w:pPr>
        <w:rPr>
          <w:rFonts w:ascii="Cambria" w:hAnsi="Cambria"/>
          <w:sz w:val="24"/>
          <w:szCs w:val="24"/>
        </w:rPr>
      </w:pP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>război</w:t>
      </w:r>
      <w:proofErr w:type="spellEnd"/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              </w:t>
      </w:r>
      <w:r w:rsidRPr="0015188A">
        <w:rPr>
          <w:rStyle w:val="spar"/>
          <w:rFonts w:ascii="Cambria" w:hAnsi="Cambria" w:cs="Courier New"/>
          <w:sz w:val="24"/>
          <w:szCs w:val="24"/>
          <w:bdr w:val="none" w:sz="0" w:space="0" w:color="auto" w:frame="1"/>
          <w:shd w:val="clear" w:color="auto" w:fill="FFFFFF"/>
        </w:rPr>
        <w:t xml:space="preserve">     </w:t>
      </w:r>
    </w:p>
    <w:sectPr w:rsidR="00A07D92" w:rsidRPr="00151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57D1C"/>
    <w:multiLevelType w:val="hybridMultilevel"/>
    <w:tmpl w:val="3AB6BD9A"/>
    <w:lvl w:ilvl="0" w:tplc="58B0E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9D"/>
    <w:rsid w:val="0015188A"/>
    <w:rsid w:val="00275D73"/>
    <w:rsid w:val="00A07D92"/>
    <w:rsid w:val="00B3669D"/>
    <w:rsid w:val="00BF2673"/>
    <w:rsid w:val="00E5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62E19-00D3-466F-8B37-3F7A5DB1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B3669D"/>
  </w:style>
  <w:style w:type="character" w:customStyle="1" w:styleId="slgi">
    <w:name w:val="s_lgi"/>
    <w:basedOn w:val="DefaultParagraphFont"/>
    <w:rsid w:val="00B3669D"/>
  </w:style>
  <w:style w:type="table" w:styleId="TableGrid">
    <w:name w:val="Table Grid"/>
    <w:basedOn w:val="TableNormal"/>
    <w:uiPriority w:val="39"/>
    <w:rsid w:val="00151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2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2023-05-09T07:15:00Z</dcterms:created>
  <dcterms:modified xsi:type="dcterms:W3CDTF">2023-05-09T08:01:00Z</dcterms:modified>
</cp:coreProperties>
</file>